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 w:line="264" w:lineRule="auto"/>
      </w:pPr>
      <w:r>
        <w:rPr>
          <w:b/>
          <w:bCs/>
          <w:color w:val="0B3D5C"/>
          <w:sz w:val="32"/>
          <w:szCs w:val="32"/>
        </w:rPr>
        <w:t xml:space="preserve">BTS CIRA1 (2026-2027) — Mathématiques</w:t>
      </w:r>
    </w:p>
    <w:p>
      <w:pPr>
        <w:spacing w:after="260" w:line="264" w:lineRule="auto"/>
      </w:pPr>
      <w:r>
        <w:rPr>
          <w:i/>
          <w:iCs/>
          <w:color w:val="1F2A33"/>
          <w:sz w:val="24"/>
          <w:szCs w:val="24"/>
        </w:rPr>
        <w:t xml:space="preserve">Chapitre 04 — Modélisation du signal</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Pr>
        <w:tc>
          <w:tcPr>
            <w:tcBorders>
              <w:top w:val="single" w:color="0B3D5C" w:sz="6"/>
              <w:left w:val="single" w:color="0B3D5C" w:sz="24"/>
              <w:bottom w:val="single" w:color="0B3D5C" w:sz="6"/>
              <w:right w:val="single" w:color="0B3D5C" w:sz="6"/>
            </w:tcBorders>
            <w:shd w:fill="E3EEF7" w:val="clear"/>
            <w:tcMar>
              <w:top w:type="dxa" w:w="160"/>
              <w:left w:type="dxa" w:w="220"/>
              <w:bottom w:type="dxa" w:w="160"/>
              <w:right w:type="dxa" w:w="220"/>
            </w:tcMar>
          </w:tcPr>
          <w:p>
            <w:pPr>
              <w:spacing w:after="100" w:line="264" w:lineRule="auto"/>
            </w:pPr>
            <w:r>
              <w:rPr>
                <w:b/>
                <w:bCs/>
                <w:color w:val="0B3D5C"/>
                <w:sz w:val="20"/>
                <w:szCs w:val="20"/>
              </w:rPr>
              <w:t xml:space="preserve">OUVERTURE</w:t>
            </w:r>
            <w:r>
              <w:rPr>
                <w:color w:val="0B3D5C"/>
                <w:sz w:val="20"/>
                <w:szCs w:val="20"/>
              </w:rPr>
              <w:t xml:space="preserve">  —  </w:t>
            </w:r>
            <w:r>
              <w:rPr>
                <w:b/>
                <w:bCs/>
                <w:sz w:val="20"/>
                <w:szCs w:val="20"/>
              </w:rPr>
              <w:t xml:space="preserve">Pourquoi ce chapitre ?</w:t>
            </w:r>
          </w:p>
          <w:p>
            <w:pPr>
              <w:spacing w:line="264" w:lineRule="auto"/>
            </w:pPr>
            <w:r>
              <w:t xml:space="preserve">Un signal (tension, courant, consigne, mesure...) est avant tout une fonction du temps. Ce chapitre outille l'étude des signaux périodiques (parité, périodicité), la dérivation d'un signal sinusoïdal, et la décomposition en éléments simples — un outil qui deviendra central en 2e année pour retrouver l'original d'une fonction de transfert en variable de Laplace. Il complète directement le chapitre sur les fonctions usuelles et prépare le calcul intégral.</w:t>
            </w:r>
          </w:p>
        </w:tc>
      </w:tr>
    </w:tbl>
    <w:p>
      <w:pPr>
        <w:spacing w:after="160" w:line="264" w:lineRule="auto"/>
      </w:pPr>
    </w:p>
    <w:p>
      <w:pPr>
        <w:pStyle w:val="Heading1"/>
        <w:spacing w:after="140" w:before="260" w:line="264" w:lineRule="auto"/>
      </w:pPr>
      <w:r>
        <w:rPr>
          <w:b/>
          <w:bCs/>
          <w:color w:val="0B3D5C"/>
          <w:sz w:val="26"/>
          <w:szCs w:val="26"/>
        </w:rPr>
        <w:t xml:space="preserve">1. Fonctions paires, impaires, périodiques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Pr>
        <w:tc>
          <w:tcPr>
            <w:tcBorders>
              <w:top w:val="single" w:color="0B3D5C" w:sz="6"/>
              <w:left w:val="single" w:color="0B3D5C" w:sz="24"/>
              <w:bottom w:val="single" w:color="0B3D5C" w:sz="6"/>
              <w:right w:val="single" w:color="0B3D5C" w:sz="6"/>
            </w:tcBorders>
            <w:shd w:fill="E3EEF7" w:val="clear"/>
            <w:tcMar>
              <w:top w:type="dxa" w:w="160"/>
              <w:left w:type="dxa" w:w="220"/>
              <w:bottom w:type="dxa" w:w="160"/>
              <w:right w:type="dxa" w:w="220"/>
            </w:tcMar>
          </w:tcPr>
          <w:p>
            <w:pPr>
              <w:spacing w:after="100" w:line="264" w:lineRule="auto"/>
            </w:pPr>
            <w:r>
              <w:rPr>
                <w:b/>
                <w:bCs/>
                <w:color w:val="0B3D5C"/>
                <w:sz w:val="20"/>
                <w:szCs w:val="20"/>
              </w:rPr>
              <w:t xml:space="preserve">DÉFINITION</w:t>
            </w:r>
            <w:r>
              <w:rPr>
                <w:color w:val="0B3D5C"/>
                <w:sz w:val="20"/>
                <w:szCs w:val="20"/>
              </w:rPr>
              <w:t xml:space="preserve">  —  </w:t>
            </w:r>
            <w:r>
              <w:rPr>
                <w:b/>
                <w:bCs/>
                <w:sz w:val="20"/>
                <w:szCs w:val="20"/>
              </w:rPr>
              <w:t xml:space="preserve">Parité et périodicité</w:t>
            </w:r>
          </w:p>
          <w:p>
            <w:pPr>
              <w:spacing w:line="264" w:lineRule="auto"/>
            </w:pPr>
            <w:r>
              <w:t xml:space="preserve">Parité : une fonction f est </w:t>
            </w:r>
            <w:r>
              <w:rPr>
                <w:b/>
                <w:bCs/>
              </w:rPr>
              <w:t xml:space="preserve">paire</w:t>
            </w:r>
            <w:r>
              <w:t xml:space="preserve"> si, pour tout t de son domaine, −t appartient aussi au domaine et </w:t>
            </w:r>
            <m:oMath>
              <m:r>
                <m:t>f(−t) = f(t)</m:t>
              </m:r>
            </m:oMath>
            <w:r>
              <w:t xml:space="preserve"> — sa courbe est symétrique par rapport à l'axe des ordonnées. Elle est </w:t>
            </w:r>
            <w:r>
              <w:rPr>
                <w:b/>
                <w:bCs/>
              </w:rPr>
              <w:t xml:space="preserve">impaire</w:t>
            </w:r>
            <w:r>
              <w:t xml:space="preserve"> si </w:t>
            </w:r>
            <m:oMath>
              <m:r>
                <m:t>f(−t) = −f(t)</m:t>
              </m:r>
            </m:oMath>
            <w:r>
              <w:t xml:space="preserve"> — sa courbe est symétrique par rapport à l'origine O.</w:t>
            </w:r>
          </w:p>
          <w:p>
            <w:pPr>
              <w:spacing w:line="264" w:lineRule="auto"/>
            </w:pPr>
            <w:r>
              <w:t xml:space="preserve">Périodicité : une fonction f est </w:t>
            </w:r>
            <w:r>
              <w:rPr>
                <w:b/>
                <w:bCs/>
              </w:rPr>
              <w:t xml:space="preserve">T-périodique</w:t>
            </w:r>
            <w:r>
              <w:t xml:space="preserve"> (T &gt; 0) si, pour tout t de son domaine, t + T appartient aussi au domaine et </w:t>
            </w:r>
            <m:oMath>
              <m:r>
                <m:t>f(t + T) = f(t)</m:t>
              </m:r>
            </m:oMath>
            <w:r>
              <w:t xml:space="preserve">. On peut alors réduire l'étude de f à un intervalle de longueur T.</w:t>
            </w:r>
          </w:p>
        </w:tc>
      </w:tr>
    </w:tbl>
    <w:p>
      <w:pPr>
        <w:spacing w:after="160" w:line="264" w:lineRule="auto"/>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Pr>
        <w:tc>
          <w:tcPr>
            <w:tcBorders>
              <w:top w:val="single" w:color="0B3D5C" w:sz="6"/>
              <w:left w:val="single" w:color="0B3D5C" w:sz="24"/>
              <w:bottom w:val="single" w:color="0B3D5C" w:sz="6"/>
              <w:right w:val="single" w:color="0B3D5C" w:sz="6"/>
            </w:tcBorders>
            <w:shd w:fill="E3EEF7" w:val="clear"/>
            <w:tcMar>
              <w:top w:type="dxa" w:w="160"/>
              <w:left w:type="dxa" w:w="220"/>
              <w:bottom w:type="dxa" w:w="160"/>
              <w:right w:type="dxa" w:w="220"/>
            </w:tcMar>
          </w:tcPr>
          <w:p>
            <w:pPr>
              <w:spacing w:after="100" w:line="264" w:lineRule="auto"/>
            </w:pPr>
            <w:r>
              <w:rPr>
                <w:b/>
                <w:bCs/>
                <w:color w:val="0B3D5C"/>
                <w:sz w:val="20"/>
                <w:szCs w:val="20"/>
              </w:rPr>
              <w:t xml:space="preserve">PROPRIÉTÉ</w:t>
            </w:r>
            <w:r>
              <w:rPr>
                <w:color w:val="0B3D5C"/>
                <w:sz w:val="20"/>
                <w:szCs w:val="20"/>
              </w:rPr>
              <w:t xml:space="preserve">  —  </w:t>
            </w:r>
            <w:r>
              <w:rPr>
                <w:b/>
                <w:bCs/>
                <w:sz w:val="20"/>
                <w:szCs w:val="20"/>
              </w:rPr>
              <w:t xml:space="preserve">Exemple : un signal carré (créneau), signal pair</w:t>
            </w:r>
          </w:p>
          <w:p>
            <w:pPr>
              <w:spacing w:line="264" w:lineRule="auto"/>
            </w:pPr>
            <w:r>
              <w:t xml:space="preserve">Le signal représenté ci-dessous est périodique de période T (lue directement sur le graphique) et sa courbe est symétrique par rapport à l'axe des ordonnées : c'est un signal </w:t>
            </w:r>
            <w:r>
              <w:rPr>
                <w:b/>
                <w:bCs/>
              </w:rPr>
              <w:t xml:space="preserve">pair</w:t>
            </w:r>
            <w:r>
              <w:t xml:space="preserve">.</w:t>
            </w:r>
          </w:p>
          <w:p>
            <w:pPr>
              <w:spacing w:after="120" w:before="120" w:line="264" w:lineRule="auto"/>
              <w:jc w:val="center"/>
            </w:pPr>
            <w:r>
              <w:drawing>
                <wp:inline distT="0" distB="0" distL="0" distR="0">
                  <wp:extent cx="4029075" cy="18954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4029075" cy="1895475"/>
                          </a:xfrm>
                          <a:prstGeom prst="rect">
                            <a:avLst/>
                          </a:prstGeom>
                        </pic:spPr>
                      </pic:pic>
                    </a:graphicData>
                  </a:graphic>
                </wp:inline>
              </w:drawing>
            </w:r>
          </w:p>
        </w:tc>
      </w:tr>
    </w:tbl>
    <w:p>
      <w:pPr>
        <w:spacing w:after="160" w:line="264" w:lineRule="auto"/>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Pr>
        <w:tc>
          <w:tcPr>
            <w:tcBorders>
              <w:top w:val="single" w:color="0B3D5C" w:sz="6"/>
              <w:left w:val="single" w:color="0B3D5C" w:sz="24"/>
              <w:bottom w:val="single" w:color="0B3D5C" w:sz="6"/>
              <w:right w:val="single" w:color="0B3D5C" w:sz="6"/>
            </w:tcBorders>
            <w:shd w:fill="E3EEF7" w:val="clear"/>
            <w:tcMar>
              <w:top w:type="dxa" w:w="160"/>
              <w:left w:type="dxa" w:w="220"/>
              <w:bottom w:type="dxa" w:w="160"/>
              <w:right w:type="dxa" w:w="220"/>
            </w:tcMar>
          </w:tcPr>
          <w:p>
            <w:pPr>
              <w:spacing w:after="100" w:line="264" w:lineRule="auto"/>
            </w:pPr>
            <w:r>
              <w:rPr>
                <w:b/>
                <w:bCs/>
                <w:color w:val="0B3D5C"/>
                <w:sz w:val="20"/>
                <w:szCs w:val="20"/>
              </w:rPr>
              <w:t xml:space="preserve">PROPRIÉTÉ</w:t>
            </w:r>
            <w:r>
              <w:rPr>
                <w:color w:val="0B3D5C"/>
                <w:sz w:val="20"/>
                <w:szCs w:val="20"/>
              </w:rPr>
              <w:t xml:space="preserve">  —  </w:t>
            </w:r>
            <w:r>
              <w:rPr>
                <w:b/>
                <w:bCs/>
                <w:sz w:val="20"/>
                <w:szCs w:val="20"/>
              </w:rPr>
              <w:t xml:space="preserve">Exemple : un signal en dents de scie, signal impair</w:t>
            </w:r>
          </w:p>
          <w:p>
            <w:pPr>
              <w:spacing w:line="264" w:lineRule="auto"/>
            </w:pPr>
            <w:r>
              <w:t xml:space="preserve">Ce second signal est lui aussi périodique, mais sa courbe est symétrique par rapport à l'origine O : c'est un signal </w:t>
            </w:r>
            <w:r>
              <w:rPr>
                <w:b/>
                <w:bCs/>
              </w:rPr>
              <w:t xml:space="preserve">impair</w:t>
            </w:r>
            <w:r>
              <w:t xml:space="preserve">.</w:t>
            </w:r>
          </w:p>
          <w:p>
            <w:pPr>
              <w:spacing w:after="120" w:before="120" w:line="264" w:lineRule="auto"/>
              <w:jc w:val="center"/>
            </w:pPr>
            <w:r>
              <w:drawing>
                <wp:inline distT="0" distB="0" distL="0" distR="0">
                  <wp:extent cx="4029075" cy="18954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4029075" cy="1895475"/>
                          </a:xfrm>
                          <a:prstGeom prst="rect">
                            <a:avLst/>
                          </a:prstGeom>
                        </pic:spPr>
                      </pic:pic>
                    </a:graphicData>
                  </a:graphic>
                </wp:inline>
              </w:drawing>
            </w:r>
          </w:p>
        </w:tc>
      </w:tr>
    </w:tbl>
    <w:p>
      <w:pPr>
        <w:spacing w:after="160" w:line="264" w:lineRule="auto"/>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Pr>
        <w:tc>
          <w:tcPr>
            <w:tcBorders>
              <w:top w:val="single" w:color="0E6E76" w:sz="6"/>
              <w:left w:val="single" w:color="0E6E76" w:sz="24"/>
              <w:bottom w:val="single" w:color="0E6E76" w:sz="6"/>
              <w:right w:val="single" w:color="0E6E76" w:sz="6"/>
            </w:tcBorders>
            <w:shd w:fill="E1F0EE" w:val="clear"/>
            <w:tcMar>
              <w:top w:type="dxa" w:w="160"/>
              <w:left w:type="dxa" w:w="220"/>
              <w:bottom w:type="dxa" w:w="160"/>
              <w:right w:type="dxa" w:w="220"/>
            </w:tcMar>
          </w:tcPr>
          <w:p>
            <w:pPr>
              <w:spacing w:after="100" w:line="264" w:lineRule="auto"/>
            </w:pPr>
            <w:r>
              <w:rPr>
                <w:b/>
                <w:bCs/>
                <w:color w:val="0E6E76"/>
                <w:sz w:val="20"/>
                <w:szCs w:val="20"/>
              </w:rPr>
              <w:t xml:space="preserve">MÉTHODE</w:t>
            </w:r>
            <w:r>
              <w:rPr>
                <w:color w:val="0E6E76"/>
                <w:sz w:val="20"/>
                <w:szCs w:val="20"/>
              </w:rPr>
              <w:t xml:space="preserve">  —  </w:t>
            </w:r>
            <w:r>
              <w:rPr>
                <w:b/>
                <w:bCs/>
                <w:sz w:val="20"/>
                <w:szCs w:val="20"/>
              </w:rPr>
              <w:t xml:space="preserve">Où ça sert en CIRA</w:t>
            </w:r>
          </w:p>
          <w:p>
            <w:pPr>
              <w:spacing w:line="264" w:lineRule="auto"/>
            </w:pPr>
            <w:r>
              <w:t xml:space="preserve">À l'oscilloscope, la période T d'un signal se lit directement sur l'écran (nombre de divisions horizontales × calibre temps/division) ; on en déduit la fréquence f = 1/T. La parité d'un signal périodique a aussi une conséquence importante pour sa décomposition en série de Fourier (vue en 2e année) : un signal pair ne comporte que des termes en cosinus, un signal impair que des termes en sinus — cela permet d'anticiper la forme du spectre d'un signal avant même de le calculer.</w:t>
            </w:r>
          </w:p>
        </w:tc>
      </w:tr>
    </w:tbl>
    <w:p>
      <w:pPr>
        <w:spacing w:after="160" w:line="264" w:lineRule="auto"/>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Pr>
        <w:tc>
          <w:tcPr>
            <w:tcBorders>
              <w:top w:val="dashed" w:color="C8631A" w:sz="6"/>
              <w:left w:val="dashed" w:color="C8631A" w:sz="24"/>
              <w:bottom w:val="dashed" w:color="C8631A" w:sz="6"/>
              <w:right w:val="dashed" w:color="C8631A" w:sz="6"/>
            </w:tcBorders>
            <w:shd w:fill="FFFFFF" w:val="clear"/>
            <w:tcMar>
              <w:top w:type="dxa" w:w="160"/>
              <w:left w:type="dxa" w:w="220"/>
              <w:bottom w:type="dxa" w:w="160"/>
              <w:right w:type="dxa" w:w="220"/>
            </w:tcMar>
          </w:tcPr>
          <w:p>
            <w:pPr>
              <w:spacing w:after="100" w:line="264" w:lineRule="auto"/>
            </w:pPr>
            <w:r>
              <w:rPr>
                <w:b/>
                <w:bCs/>
                <w:color w:val="C8631A"/>
                <w:sz w:val="20"/>
                <w:szCs w:val="20"/>
              </w:rPr>
              <w:t xml:space="preserve">EXERCICE</w:t>
            </w:r>
            <w:r>
              <w:rPr>
                <w:color w:val="C8631A"/>
                <w:sz w:val="20"/>
                <w:szCs w:val="20"/>
              </w:rPr>
              <w:t xml:space="preserve">  —  </w:t>
            </w:r>
            <w:r>
              <w:rPr>
                <w:b/>
                <w:bCs/>
                <w:sz w:val="20"/>
                <w:szCs w:val="20"/>
              </w:rPr>
              <w:t xml:space="preserve">Calculer</w:t>
            </w:r>
          </w:p>
          <w:p>
            <w:pPr>
              <w:spacing w:line="264" w:lineRule="auto"/>
            </w:pPr>
            <w:r>
              <w:t xml:space="preserve">Un signal périodique a pour période T = 20 ms. Calculer sa fréquence f (en Hz) puis sa pulsation </w:t>
            </w:r>
            <m:oMath>
              <m:r>
                <m:t>ω = 2π/T</m:t>
              </m:r>
            </m:oMath>
            <w:r>
              <w:t xml:space="preserve"> (en rad/s).</w:t>
            </w:r>
          </w:p>
        </w:tc>
      </w:tr>
    </w:tbl>
    <w:p>
      <w:pPr>
        <w:spacing w:after="160" w:line="264" w:lineRule="auto"/>
      </w:pPr>
    </w:p>
    <w:p>
      <w:pPr>
        <w:pStyle w:val="Heading1"/>
        <w:spacing w:after="140" w:before="260" w:line="264" w:lineRule="auto"/>
      </w:pPr>
      <w:r>
        <w:rPr>
          <w:b/>
          <w:bCs/>
          <w:color w:val="0B3D5C"/>
          <w:sz w:val="26"/>
          <w:szCs w:val="26"/>
        </w:rPr>
        <w:t xml:space="preserve">2. Dérivée d'un signal sinusoïdal</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Pr>
        <w:tc>
          <w:tcPr>
            <w:tcBorders>
              <w:top w:val="single" w:color="0B3D5C" w:sz="6"/>
              <w:left w:val="single" w:color="0B3D5C" w:sz="24"/>
              <w:bottom w:val="single" w:color="0B3D5C" w:sz="6"/>
              <w:right w:val="single" w:color="0B3D5C" w:sz="6"/>
            </w:tcBorders>
            <w:shd w:fill="E3EEF7" w:val="clear"/>
            <w:tcMar>
              <w:top w:type="dxa" w:w="160"/>
              <w:left w:type="dxa" w:w="220"/>
              <w:bottom w:type="dxa" w:w="160"/>
              <w:right w:type="dxa" w:w="220"/>
            </w:tcMar>
          </w:tcPr>
          <w:p>
            <w:pPr>
              <w:spacing w:after="100" w:line="264" w:lineRule="auto"/>
            </w:pPr>
            <w:r>
              <w:rPr>
                <w:b/>
                <w:bCs/>
                <w:color w:val="0B3D5C"/>
                <w:sz w:val="20"/>
                <w:szCs w:val="20"/>
              </w:rPr>
              <w:t xml:space="preserve">DÉFINITION</w:t>
            </w:r>
            <w:r>
              <w:rPr>
                <w:color w:val="0B3D5C"/>
                <w:sz w:val="20"/>
                <w:szCs w:val="20"/>
              </w:rPr>
              <w:t xml:space="preserve">  —  </w:t>
            </w:r>
            <w:r>
              <w:rPr>
                <w:b/>
                <w:bCs/>
                <w:sz w:val="20"/>
                <w:szCs w:val="20"/>
              </w:rPr>
              <w:t xml:space="preserve">Dérivée de t ↦ cos(ωt + φ) et t ↦ sin(ωt + φ)</w:t>
            </w:r>
          </w:p>
          <w:p>
            <w:pPr>
              <w:spacing w:line="264" w:lineRule="auto"/>
            </w:pPr>
            <w:r>
              <w:t xml:space="preserve">Pour ω et φ réels, en utilisant la dérivée d'une fonction composée :</w:t>
            </w:r>
          </w:p>
          <w:p>
            <w:pPr>
              <w:spacing w:after="80" w:before="80" w:line="264" w:lineRule="auto"/>
              <w:jc w:val="center"/>
            </w:pPr>
            <m:oMath>
              <m:r>
                <m:t>(cos(ωt + φ))' = −ω sin(ωt + φ)</m:t>
              </m:r>
            </m:oMath>
          </w:p>
          <w:p>
            <w:pPr>
              <w:spacing w:after="80" w:before="80" w:line="264" w:lineRule="auto"/>
              <w:jc w:val="center"/>
            </w:pPr>
            <m:oMath>
              <m:r>
                <m:t>(sin(ωt + φ))' = ω cos(ωt + φ)</m:t>
              </m:r>
            </m:oMath>
          </w:p>
        </w:tc>
      </w:tr>
    </w:tbl>
    <w:p>
      <w:pPr>
        <w:spacing w:after="160" w:line="264" w:lineRule="auto"/>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Pr>
        <w:tc>
          <w:tcPr>
            <w:tcBorders>
              <w:top w:val="single" w:color="9C7A17" w:sz="6"/>
              <w:left w:val="single" w:color="9C7A17" w:sz="24"/>
              <w:bottom w:val="single" w:color="9C7A17" w:sz="6"/>
              <w:right w:val="single" w:color="9C7A17" w:sz="6"/>
            </w:tcBorders>
            <w:shd w:fill="FBF2DD" w:val="clear"/>
            <w:tcMar>
              <w:top w:type="dxa" w:w="160"/>
              <w:left w:type="dxa" w:w="220"/>
              <w:bottom w:type="dxa" w:w="160"/>
              <w:right w:type="dxa" w:w="220"/>
            </w:tcMar>
          </w:tcPr>
          <w:p>
            <w:pPr>
              <w:spacing w:after="100" w:line="264" w:lineRule="auto"/>
            </w:pPr>
            <w:r>
              <w:rPr>
                <w:b/>
                <w:bCs/>
                <w:color w:val="9C7A17"/>
                <w:sz w:val="20"/>
                <w:szCs w:val="20"/>
              </w:rPr>
              <w:t xml:space="preserve">REMARQUE</w:t>
            </w:r>
            <w:r>
              <w:rPr>
                <w:color w:val="9C7A17"/>
                <w:sz w:val="20"/>
                <w:szCs w:val="20"/>
              </w:rPr>
              <w:t xml:space="preserve">  —  </w:t>
            </w:r>
            <w:r>
              <w:rPr>
                <w:b/>
                <w:bCs/>
                <w:sz w:val="20"/>
                <w:szCs w:val="20"/>
              </w:rPr>
              <w:t xml:space="preserve">Compléments (utile pour le chapitre Calcul intégral)</w:t>
            </w:r>
          </w:p>
          <w:p>
            <w:pPr>
              <w:spacing w:line="264" w:lineRule="auto"/>
            </w:pPr>
            <w:r>
              <w:t xml:space="preserve">En sens inverse, une primitive de t ↦ cos(ωt + φ) est </w:t>
            </w:r>
            <m:oMath>
              <m:r>
                <m:t>t ↦ </m:t>
              </m:r>
              <m:f>
                <m:num>
                  <m:r>
                    <m:t>1</m:t>
                  </m:r>
                </m:num>
                <m:den>
                  <m:r>
                    <m:t>ω</m:t>
                  </m:r>
                </m:den>
              </m:f>
              <m:r>
                <m:t> sin(ωt + φ)</m:t>
              </m:r>
            </m:oMath>
            <w:r>
              <w:t xml:space="preserve">, et une primitive de t ↦ sin(ωt + φ) est </w:t>
            </w:r>
            <m:oMath>
              <m:r>
                <m:t>t ↦ −</m:t>
              </m:r>
              <m:f>
                <m:num>
                  <m:r>
                    <m:t>1</m:t>
                  </m:r>
                </m:num>
                <m:den>
                  <m:r>
                    <m:t>ω</m:t>
                  </m:r>
                </m:den>
              </m:f>
              <m:r>
                <m:t> cos(ωt + φ)</m:t>
              </m:r>
            </m:oMath>
            <w:r>
              <w:t xml:space="preserve">.</w:t>
            </w:r>
          </w:p>
        </w:tc>
      </w:tr>
    </w:tbl>
    <w:p>
      <w:pPr>
        <w:spacing w:after="160" w:line="264" w:lineRule="auto"/>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Pr>
        <w:tc>
          <w:tcPr>
            <w:tcBorders>
              <w:top w:val="single" w:color="0E6E76" w:sz="6"/>
              <w:left w:val="single" w:color="0E6E76" w:sz="24"/>
              <w:bottom w:val="single" w:color="0E6E76" w:sz="6"/>
              <w:right w:val="single" w:color="0E6E76" w:sz="6"/>
            </w:tcBorders>
            <w:shd w:fill="E1F0EE" w:val="clear"/>
            <w:tcMar>
              <w:top w:type="dxa" w:w="160"/>
              <w:left w:type="dxa" w:w="220"/>
              <w:bottom w:type="dxa" w:w="160"/>
              <w:right w:type="dxa" w:w="220"/>
            </w:tcMar>
          </w:tcPr>
          <w:p>
            <w:pPr>
              <w:spacing w:after="100" w:line="264" w:lineRule="auto"/>
            </w:pPr>
            <w:r>
              <w:rPr>
                <w:b/>
                <w:bCs/>
                <w:color w:val="0E6E76"/>
                <w:sz w:val="20"/>
                <w:szCs w:val="20"/>
              </w:rPr>
              <w:t xml:space="preserve">MÉTHODE</w:t>
            </w:r>
            <w:r>
              <w:rPr>
                <w:color w:val="0E6E76"/>
                <w:sz w:val="20"/>
                <w:szCs w:val="20"/>
              </w:rPr>
              <w:t xml:space="preserve">  —  </w:t>
            </w:r>
            <w:r>
              <w:rPr>
                <w:b/>
                <w:bCs/>
                <w:sz w:val="20"/>
                <w:szCs w:val="20"/>
              </w:rPr>
              <w:t xml:space="preserve">Où ça sert en CIRA</w:t>
            </w:r>
          </w:p>
          <w:p>
            <w:pPr>
              <w:spacing w:line="264" w:lineRule="auto"/>
            </w:pPr>
            <w:r>
              <w:t xml:space="preserve">L'intensité traversant un condensateur de capacité C vérifie i(t) = C × du/dt, où u(t) est la tension à ses bornes. Dériver un signal sinusoïdal introduit un déphasage de +π/2 (une avance de phase) : c'est ainsi qu'apparaît la notion de quadrature entre tension et courant dans un condensateur.</w:t>
            </w:r>
          </w:p>
        </w:tc>
      </w:tr>
    </w:tbl>
    <w:p>
      <w:pPr>
        <w:spacing w:after="160" w:line="264" w:lineRule="auto"/>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Pr>
        <w:tc>
          <w:tcPr>
            <w:tcBorders>
              <w:top w:val="single" w:color="C8631A" w:sz="6"/>
              <w:left w:val="single" w:color="C8631A" w:sz="24"/>
              <w:bottom w:val="single" w:color="C8631A" w:sz="6"/>
              <w:right w:val="single" w:color="C8631A" w:sz="6"/>
            </w:tcBorders>
            <w:shd w:fill="FBEADD" w:val="clear"/>
            <w:tcMar>
              <w:top w:type="dxa" w:w="160"/>
              <w:left w:type="dxa" w:w="220"/>
              <w:bottom w:type="dxa" w:w="160"/>
              <w:right w:type="dxa" w:w="220"/>
            </w:tcMar>
          </w:tcPr>
          <w:p>
            <w:pPr>
              <w:spacing w:after="100" w:line="264" w:lineRule="auto"/>
            </w:pPr>
            <w:r>
              <w:rPr>
                <w:b/>
                <w:bCs/>
                <w:color w:val="C8631A"/>
                <w:sz w:val="20"/>
                <w:szCs w:val="20"/>
              </w:rPr>
              <w:t xml:space="preserve">🔧 APPLICATION CIRA</w:t>
            </w:r>
            <w:r>
              <w:rPr>
                <w:color w:val="C8631A"/>
                <w:sz w:val="20"/>
                <w:szCs w:val="20"/>
              </w:rPr>
              <w:t xml:space="preserve">  —  </w:t>
            </w:r>
            <w:r>
              <w:rPr>
                <w:b/>
                <w:bCs/>
                <w:sz w:val="20"/>
                <w:szCs w:val="20"/>
              </w:rPr>
              <w:t xml:space="preserve">Courant dans un condensateur</w:t>
            </w:r>
          </w:p>
          <w:p>
            <w:pPr>
              <w:spacing w:line="264" w:lineRule="auto"/>
            </w:pPr>
            <w:r>
              <w:t xml:space="preserve">Un condensateur de capacité C est soumis à une tension </w:t>
            </w:r>
            <m:oMath>
              <m:r>
                <m:t>u(t) = Umax × cos(ωt)</m:t>
              </m:r>
            </m:oMath>
            <w:r>
              <w:t xml:space="preserve">. Son intensité vérifie </w:t>
            </w:r>
            <m:oMath>
              <m:r>
                <m:t>i(t) = C × u'(t)</m:t>
              </m:r>
            </m:oMath>
            <w:r>
              <w:t xml:space="preserve">.</w:t>
            </w:r>
          </w:p>
          <w:p>
            <w:pPr>
              <w:spacing w:line="264" w:lineRule="auto"/>
            </w:pPr>
            <w:r>
              <w:t xml:space="preserve">1. Calculer i(t) en fonction de C, Umax, ω et t.</w:t>
            </w:r>
          </w:p>
          <w:p>
            <w:pPr>
              <w:spacing w:line="264" w:lineRule="auto"/>
            </w:pPr>
            <w:r>
              <w:t xml:space="preserve">2. Montrer que </w:t>
            </w:r>
            <m:oMath>
              <m:r>
                <m:t>i(t) = C × Umax × ω × cos(ωt + π/2)</m:t>
              </m:r>
            </m:oMath>
            <w:r>
              <w:t xml:space="preserve"> : le courant est en avance de phase de π/2 sur la tension.</w:t>
            </w:r>
          </w:p>
          <w:p>
            <w:pPr>
              <w:spacing w:after="120" w:before="120" w:line="264" w:lineRule="auto"/>
              <w:jc w:val="center"/>
            </w:pPr>
            <w:r>
              <w:drawing>
                <wp:inline distT="0" distB="0" distL="0" distR="0">
                  <wp:extent cx="3857625" cy="20478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3857625" cy="2047875"/>
                          </a:xfrm>
                          <a:prstGeom prst="rect">
                            <a:avLst/>
                          </a:prstGeom>
                        </pic:spPr>
                      </pic:pic>
                    </a:graphicData>
                  </a:graphic>
                </wp:inline>
              </w:drawing>
            </w:r>
          </w:p>
        </w:tc>
      </w:tr>
    </w:tbl>
    <w:p>
      <w:pPr>
        <w:spacing w:after="160" w:line="264" w:lineRule="auto"/>
      </w:pPr>
    </w:p>
    <w:p>
      <w:pPr>
        <w:pStyle w:val="Heading1"/>
        <w:spacing w:after="140" w:before="260" w:line="264" w:lineRule="auto"/>
      </w:pPr>
      <w:r>
        <w:rPr>
          <w:b/>
          <w:bCs/>
          <w:color w:val="0B3D5C"/>
          <w:sz w:val="26"/>
          <w:szCs w:val="26"/>
        </w:rPr>
        <w:t xml:space="preserve">3. Décomposition en éléments simples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Pr>
        <w:tc>
          <w:tcPr>
            <w:tcBorders>
              <w:top w:val="single" w:color="0B3D5C" w:sz="6"/>
              <w:left w:val="single" w:color="0B3D5C" w:sz="24"/>
              <w:bottom w:val="single" w:color="0B3D5C" w:sz="6"/>
              <w:right w:val="single" w:color="0B3D5C" w:sz="6"/>
            </w:tcBorders>
            <w:shd w:fill="E3EEF7" w:val="clear"/>
            <w:tcMar>
              <w:top w:type="dxa" w:w="160"/>
              <w:left w:type="dxa" w:w="220"/>
              <w:bottom w:type="dxa" w:w="160"/>
              <w:right w:type="dxa" w:w="220"/>
            </w:tcMar>
          </w:tcPr>
          <w:p>
            <w:pPr>
              <w:spacing w:after="100" w:line="264" w:lineRule="auto"/>
            </w:pPr>
            <w:r>
              <w:rPr>
                <w:b/>
                <w:bCs/>
                <w:color w:val="0B3D5C"/>
                <w:sz w:val="20"/>
                <w:szCs w:val="20"/>
              </w:rPr>
              <w:t xml:space="preserve">DÉFINITION</w:t>
            </w:r>
            <w:r>
              <w:rPr>
                <w:color w:val="0B3D5C"/>
                <w:sz w:val="20"/>
                <w:szCs w:val="20"/>
              </w:rPr>
              <w:t xml:space="preserve">  —  </w:t>
            </w:r>
            <w:r>
              <w:rPr>
                <w:b/>
                <w:bCs/>
                <w:sz w:val="20"/>
                <w:szCs w:val="20"/>
              </w:rPr>
              <w:t xml:space="preserve">Décomposition en éléments simples (cas simple)</w:t>
            </w:r>
          </w:p>
          <w:p>
            <w:pPr>
              <w:spacing w:line="264" w:lineRule="auto"/>
            </w:pPr>
            <w:r>
              <w:t xml:space="preserve">Pour une fraction rationnelle dont le dénominateur se factorise en produit de deux facteurs distincts du premier degré, on admet qu'elle peut s'écrire comme une somme de deux fractions plus simples :</w:t>
            </w:r>
          </w:p>
          <w:p>
            <w:pPr>
              <w:spacing w:after="80" w:before="80" w:line="264" w:lineRule="auto"/>
              <w:jc w:val="center"/>
            </w:pPr>
            <m:oMath>
              <m:f>
                <m:num>
                  <m:r>
                    <m:t>N(x)</m:t>
                  </m:r>
                </m:num>
                <m:den>
                  <m:r>
                    <m:t>(x − a)(x − b)</m:t>
                  </m:r>
                </m:den>
              </m:f>
              <m:r>
                <m:t> = </m:t>
              </m:r>
              <m:f>
                <m:num>
                  <m:r>
                    <m:t>A</m:t>
                  </m:r>
                </m:num>
                <m:den>
                  <m:r>
                    <m:t>x − a</m:t>
                  </m:r>
                </m:den>
              </m:f>
              <m:r>
                <m:t> + </m:t>
              </m:r>
              <m:f>
                <m:num>
                  <m:r>
                    <m:t>B</m:t>
                  </m:r>
                </m:num>
                <m:den>
                  <m:r>
                    <m:t>x − b</m:t>
                  </m:r>
                </m:den>
              </m:f>
            </m:oMath>
          </w:p>
          <w:p>
            <w:pPr>
              <w:spacing w:line="264" w:lineRule="auto"/>
            </w:pPr>
            <w:r>
              <w:t xml:space="preserve">où A et B sont deux réels à déterminer (a ≠ b, N(x) un polynôme de degré inférieur à 2). Aucune démonstration n'est exigible : seule la forme de la décomposition est à connaître.</w:t>
            </w:r>
          </w:p>
        </w:tc>
      </w:tr>
    </w:tbl>
    <w:p>
      <w:pPr>
        <w:spacing w:after="160" w:line="264" w:lineRule="auto"/>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Pr>
        <w:tc>
          <w:tcPr>
            <w:tcBorders>
              <w:top w:val="single" w:color="0E6E76" w:sz="6"/>
              <w:left w:val="single" w:color="0E6E76" w:sz="24"/>
              <w:bottom w:val="single" w:color="0E6E76" w:sz="6"/>
              <w:right w:val="single" w:color="0E6E76" w:sz="6"/>
            </w:tcBorders>
            <w:shd w:fill="E1F0EE" w:val="clear"/>
            <w:tcMar>
              <w:top w:type="dxa" w:w="160"/>
              <w:left w:type="dxa" w:w="220"/>
              <w:bottom w:type="dxa" w:w="160"/>
              <w:right w:type="dxa" w:w="220"/>
            </w:tcMar>
          </w:tcPr>
          <w:p>
            <w:pPr>
              <w:spacing w:after="100" w:line="264" w:lineRule="auto"/>
            </w:pPr>
            <w:r>
              <w:rPr>
                <w:b/>
                <w:bCs/>
                <w:color w:val="0E6E76"/>
                <w:sz w:val="20"/>
                <w:szCs w:val="20"/>
              </w:rPr>
              <w:t xml:space="preserve">MÉTHODE</w:t>
            </w:r>
            <w:r>
              <w:rPr>
                <w:color w:val="0E6E76"/>
                <w:sz w:val="20"/>
                <w:szCs w:val="20"/>
              </w:rPr>
              <w:t xml:space="preserve">  —  </w:t>
            </w:r>
            <w:r>
              <w:rPr>
                <w:b/>
                <w:bCs/>
                <w:sz w:val="20"/>
                <w:szCs w:val="20"/>
              </w:rPr>
              <w:t xml:space="preserve">Méthode : déterminer les coefficients par identification</w:t>
            </w:r>
          </w:p>
          <w:p>
            <w:pPr>
              <w:spacing w:line="264" w:lineRule="auto"/>
            </w:pPr>
            <w:r>
              <w:t xml:space="preserve">On réduit le membre de droite au même dénominateur, puis on identifie les coefficients avec le numérateur N(x) — ou, plus rapidement, on multiplie les deux membres par (x − a) puis on évalue en x = a pour obtenir A directement (idem pour B en x = b).</w:t>
            </w:r>
          </w:p>
          <w:p>
            <w:pPr>
              <w:spacing w:line="264" w:lineRule="auto"/>
            </w:pPr>
            <w:r>
              <w:t xml:space="preserve">Exemple : décomposer </w:t>
            </w:r>
            <m:oMath>
              <m:f>
                <m:num>
                  <m:r>
                    <m:t>5x − 1</m:t>
                  </m:r>
                </m:num>
                <m:den>
                  <m:r>
                    <m:t>(x − 1)(x + 2)</m:t>
                  </m:r>
                </m:den>
              </m:f>
            </m:oMath>
            <w:r>
              <w:t xml:space="preserve">. On pose </w:t>
            </w:r>
            <m:oMath>
              <m:f>
                <m:num>
                  <m:r>
                    <m:t>5x − 1</m:t>
                  </m:r>
                </m:num>
                <m:den>
                  <m:r>
                    <m:t>(x − 1)(x + 2)</m:t>
                  </m:r>
                </m:den>
              </m:f>
              <m:r>
                <m:t> = </m:t>
              </m:r>
              <m:f>
                <m:num>
                  <m:r>
                    <m:t>A</m:t>
                  </m:r>
                </m:num>
                <m:den>
                  <m:r>
                    <m:t>x − 1</m:t>
                  </m:r>
                </m:den>
              </m:f>
              <m:r>
                <m:t> + </m:t>
              </m:r>
              <m:f>
                <m:num>
                  <m:r>
                    <m:t>B</m:t>
                  </m:r>
                </m:num>
                <m:den>
                  <m:r>
                    <m:t>x + 2</m:t>
                  </m:r>
                </m:den>
              </m:f>
            </m:oMath>
            <w:r>
              <w:t xml:space="preserve">. En x = 1 : A = 4/3. En x = −2 : B = 11/3.</w:t>
            </w:r>
          </w:p>
        </w:tc>
      </w:tr>
    </w:tbl>
    <w:p>
      <w:pPr>
        <w:spacing w:after="160" w:line="264" w:lineRule="auto"/>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Pr>
        <w:tc>
          <w:tcPr>
            <w:tcBorders>
              <w:top w:val="single" w:color="0E6E76" w:sz="6"/>
              <w:left w:val="single" w:color="0E6E76" w:sz="24"/>
              <w:bottom w:val="single" w:color="0E6E76" w:sz="6"/>
              <w:right w:val="single" w:color="0E6E76" w:sz="6"/>
            </w:tcBorders>
            <w:shd w:fill="E1F0EE" w:val="clear"/>
            <w:tcMar>
              <w:top w:type="dxa" w:w="160"/>
              <w:left w:type="dxa" w:w="220"/>
              <w:bottom w:type="dxa" w:w="160"/>
              <w:right w:type="dxa" w:w="220"/>
            </w:tcMar>
          </w:tcPr>
          <w:p>
            <w:pPr>
              <w:spacing w:after="100" w:line="264" w:lineRule="auto"/>
            </w:pPr>
            <w:r>
              <w:rPr>
                <w:b/>
                <w:bCs/>
                <w:color w:val="0E6E76"/>
                <w:sz w:val="20"/>
                <w:szCs w:val="20"/>
              </w:rPr>
              <w:t xml:space="preserve">MÉTHODE</w:t>
            </w:r>
            <w:r>
              <w:rPr>
                <w:color w:val="0E6E76"/>
                <w:sz w:val="20"/>
                <w:szCs w:val="20"/>
              </w:rPr>
              <w:t xml:space="preserve">  —  </w:t>
            </w:r>
            <w:r>
              <w:rPr>
                <w:b/>
                <w:bCs/>
                <w:sz w:val="20"/>
                <w:szCs w:val="20"/>
              </w:rPr>
              <w:t xml:space="preserve">Où ça sert en CIRA</w:t>
            </w:r>
          </w:p>
          <w:p>
            <w:pPr>
              <w:spacing w:line="264" w:lineRule="auto"/>
            </w:pPr>
            <w:r>
              <w:t xml:space="preserve">La décomposition en éléments simples est l'outil clé de la transformation de Laplace inverse, vue en 2e année : pour retrouver le signal temporel s(t) à partir d'une fonction de transfert S(p) écrite comme une fraction rationnelle en p, on la décompose d'abord en éléments simples, puis on reconnaît l'original de chaque terme dans une table de transformées.</w:t>
            </w:r>
          </w:p>
        </w:tc>
      </w:tr>
    </w:tbl>
    <w:p>
      <w:pPr>
        <w:spacing w:after="160" w:line="264" w:lineRule="auto"/>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Pr>
        <w:tc>
          <w:tcPr>
            <w:tcBorders>
              <w:top w:val="dashed" w:color="C8631A" w:sz="6"/>
              <w:left w:val="dashed" w:color="C8631A" w:sz="24"/>
              <w:bottom w:val="dashed" w:color="C8631A" w:sz="6"/>
              <w:right w:val="dashed" w:color="C8631A" w:sz="6"/>
            </w:tcBorders>
            <w:shd w:fill="FFFFFF" w:val="clear"/>
            <w:tcMar>
              <w:top w:type="dxa" w:w="160"/>
              <w:left w:type="dxa" w:w="220"/>
              <w:bottom w:type="dxa" w:w="160"/>
              <w:right w:type="dxa" w:w="220"/>
            </w:tcMar>
          </w:tcPr>
          <w:p>
            <w:pPr>
              <w:spacing w:after="100" w:line="264" w:lineRule="auto"/>
            </w:pPr>
            <w:r>
              <w:rPr>
                <w:b/>
                <w:bCs/>
                <w:color w:val="C8631A"/>
                <w:sz w:val="20"/>
                <w:szCs w:val="20"/>
              </w:rPr>
              <w:t xml:space="preserve">EXERCICE</w:t>
            </w:r>
            <w:r>
              <w:rPr>
                <w:color w:val="C8631A"/>
                <w:sz w:val="20"/>
                <w:szCs w:val="20"/>
              </w:rPr>
              <w:t xml:space="preserve">  —  </w:t>
            </w:r>
            <w:r>
              <w:rPr>
                <w:b/>
                <w:bCs/>
                <w:sz w:val="20"/>
                <w:szCs w:val="20"/>
              </w:rPr>
              <w:t xml:space="preserve">Décomposer</w:t>
            </w:r>
          </w:p>
          <w:p>
            <w:pPr>
              <w:spacing w:line="264" w:lineRule="auto"/>
            </w:pPr>
            <w:r>
              <w:t xml:space="preserve">Décomposer en éléments simples : </w:t>
            </w:r>
            <m:oMath>
              <m:f>
                <m:num>
                  <m:r>
                    <m:t>3x + 5</m:t>
                  </m:r>
                </m:num>
                <m:den>
                  <m:r>
                    <m:t>(x + 1)(x − 2)</m:t>
                  </m:r>
                </m:den>
              </m:f>
            </m:oMath>
            <w:r>
              <w:t xml:space="preserve">.</w:t>
            </w:r>
          </w:p>
        </w:tc>
      </w:tr>
    </w:tbl>
    <w:p>
      <w:pPr>
        <w:spacing w:after="160" w:line="264" w:lineRule="auto"/>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Pr>
        <w:tc>
          <w:tcPr>
            <w:tcBorders>
              <w:top w:val="single" w:color="9C7A17" w:sz="6"/>
              <w:left w:val="single" w:color="9C7A17" w:sz="24"/>
              <w:bottom w:val="single" w:color="9C7A17" w:sz="6"/>
              <w:right w:val="single" w:color="9C7A17" w:sz="6"/>
            </w:tcBorders>
            <w:shd w:fill="FBF2DD" w:val="clear"/>
            <w:tcMar>
              <w:top w:type="dxa" w:w="160"/>
              <w:left w:type="dxa" w:w="220"/>
              <w:bottom w:type="dxa" w:w="160"/>
              <w:right w:type="dxa" w:w="220"/>
            </w:tcMar>
          </w:tcPr>
          <w:p>
            <w:pPr>
              <w:spacing w:after="100" w:line="264" w:lineRule="auto"/>
            </w:pPr>
            <w:r>
              <w:rPr>
                <w:b/>
                <w:bCs/>
                <w:color w:val="9C7A17"/>
                <w:sz w:val="20"/>
                <w:szCs w:val="20"/>
              </w:rPr>
              <w:t xml:space="preserve">REMARQUE</w:t>
            </w:r>
            <w:r>
              <w:rPr>
                <w:color w:val="9C7A17"/>
                <w:sz w:val="20"/>
                <w:szCs w:val="20"/>
              </w:rPr>
              <w:t xml:space="preserve">  —  </w:t>
            </w:r>
            <w:r>
              <w:rPr>
                <w:b/>
                <w:bCs/>
                <w:sz w:val="20"/>
                <w:szCs w:val="20"/>
              </w:rPr>
              <w:t xml:space="preserve">Pour aller plus loin : approcher une fonction sur un intervalle</w:t>
            </w:r>
          </w:p>
          <w:p>
            <w:pPr>
              <w:spacing w:line="264" w:lineRule="auto"/>
            </w:pPr>
            <w:r>
              <w:t xml:space="preserve">À l'aide d'un logiciel de calcul formel, on peut approcher une fonction par une fonction plus simple (polynôme, somme de fonctions usuelles...) sur un intervalle donné. Cette idée sera reprise en 2e année avec les séries de Fourier : un signal périodique, même complexe, peut être approché par une somme de sinusoïdes simples — c'est le principe de la décomposition spectrale d'un signal.</w:t>
            </w:r>
          </w:p>
        </w:tc>
      </w:tr>
    </w:tbl>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F2A33"/>
        <w:sz w:val="21"/>
        <w:szCs w:val="21"/>
      </w:rPr>
    </w:rPrDefault>
    <w:pPrDefault>
      <w:pPr>
        <w:spacing w:line="264"/>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7994587eb374a6bef75afcf6ebf54324d73e421b.png"/><Relationship Id="rId8" Type="http://schemas.openxmlformats.org/officeDocument/2006/relationships/image" Target="media/305e36e95d32922c3111d965db4b9fed65fdbfa5.png"/><Relationship Id="rId9" Type="http://schemas.openxmlformats.org/officeDocument/2006/relationships/image" Target="media/79fa35eeb8718bb4c17f19fab4a6badeb24663db.png"/><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2026-09-02T09:19:56.077Z</dcterms:created>
  <dcterms:modified xsi:type="dcterms:W3CDTF">2026-09-02T09:19:56.090Z</dcterms:modified>
</cp:coreProperties>
</file>

<file path=docProps/custom.xml><?xml version="1.0" encoding="utf-8"?>
<Properties xmlns="http://schemas.openxmlformats.org/officeDocument/2006/custom-properties" xmlns:vt="http://schemas.openxmlformats.org/officeDocument/2006/docPropsVTypes"/>
</file>